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D5" w:rsidRPr="008550E1" w:rsidRDefault="00382DD5" w:rsidP="00382DD5">
      <w:pPr>
        <w:jc w:val="center"/>
        <w:rPr>
          <w:b/>
          <w:bCs/>
          <w:kern w:val="32"/>
          <w:sz w:val="28"/>
          <w:szCs w:val="28"/>
        </w:rPr>
      </w:pPr>
      <w:r w:rsidRPr="008550E1">
        <w:rPr>
          <w:b/>
          <w:bCs/>
          <w:kern w:val="32"/>
          <w:sz w:val="28"/>
          <w:szCs w:val="28"/>
        </w:rPr>
        <w:t>РОССИЙСКАЯ ФЕДЕРАЦИЯ</w:t>
      </w:r>
    </w:p>
    <w:p w:rsidR="00382DD5" w:rsidRPr="008550E1" w:rsidRDefault="00382DD5" w:rsidP="00382DD5">
      <w:pPr>
        <w:jc w:val="center"/>
        <w:rPr>
          <w:b/>
          <w:bCs/>
          <w:kern w:val="32"/>
          <w:sz w:val="28"/>
          <w:szCs w:val="28"/>
        </w:rPr>
      </w:pPr>
      <w:r w:rsidRPr="008550E1">
        <w:rPr>
          <w:b/>
          <w:bCs/>
          <w:kern w:val="32"/>
          <w:sz w:val="28"/>
          <w:szCs w:val="28"/>
        </w:rPr>
        <w:t>ОРЛОВСКАЯ ОБЛАСТЬ</w:t>
      </w:r>
    </w:p>
    <w:p w:rsidR="00382DD5" w:rsidRPr="008550E1" w:rsidRDefault="00382DD5" w:rsidP="00382DD5">
      <w:pPr>
        <w:jc w:val="center"/>
        <w:rPr>
          <w:b/>
          <w:bCs/>
          <w:kern w:val="32"/>
          <w:sz w:val="28"/>
          <w:szCs w:val="28"/>
        </w:rPr>
      </w:pPr>
      <w:r>
        <w:rPr>
          <w:b/>
          <w:bCs/>
          <w:kern w:val="32"/>
          <w:sz w:val="28"/>
          <w:szCs w:val="28"/>
        </w:rPr>
        <w:t>ДМИТРОВСКИЙ</w:t>
      </w:r>
      <w:r w:rsidRPr="008550E1">
        <w:rPr>
          <w:b/>
          <w:bCs/>
          <w:kern w:val="32"/>
          <w:sz w:val="28"/>
          <w:szCs w:val="28"/>
        </w:rPr>
        <w:t xml:space="preserve"> РАЙОН</w:t>
      </w:r>
    </w:p>
    <w:p w:rsidR="00382DD5" w:rsidRDefault="00382DD5" w:rsidP="00382DD5">
      <w:pPr>
        <w:jc w:val="center"/>
        <w:rPr>
          <w:b/>
          <w:bCs/>
          <w:sz w:val="22"/>
          <w:szCs w:val="22"/>
        </w:rPr>
      </w:pPr>
      <w:r>
        <w:rPr>
          <w:b/>
          <w:bCs/>
          <w:kern w:val="32"/>
          <w:sz w:val="28"/>
          <w:szCs w:val="28"/>
        </w:rPr>
        <w:t xml:space="preserve">ГОРБУНОВСКИЙ СЕЛЬСКИЙ </w:t>
      </w:r>
      <w:r w:rsidRPr="008550E1">
        <w:rPr>
          <w:b/>
          <w:bCs/>
          <w:kern w:val="32"/>
          <w:sz w:val="28"/>
          <w:szCs w:val="28"/>
        </w:rPr>
        <w:t>СОВЕТ НАРОДНЫХ ДЕПУТАТОВ</w:t>
      </w:r>
    </w:p>
    <w:p w:rsidR="00382DD5" w:rsidRDefault="00382DD5" w:rsidP="00382DD5">
      <w:pPr>
        <w:jc w:val="center"/>
        <w:rPr>
          <w:bCs/>
          <w:sz w:val="28"/>
          <w:szCs w:val="28"/>
        </w:rPr>
      </w:pPr>
    </w:p>
    <w:p w:rsidR="00382DD5" w:rsidRPr="00ED4189" w:rsidRDefault="006547F4" w:rsidP="00382DD5">
      <w:pPr>
        <w:jc w:val="center"/>
        <w:rPr>
          <w:b/>
          <w:bCs/>
          <w:sz w:val="28"/>
          <w:szCs w:val="28"/>
        </w:rPr>
      </w:pPr>
      <w:r>
        <w:rPr>
          <w:b/>
          <w:bCs/>
          <w:sz w:val="28"/>
          <w:szCs w:val="28"/>
        </w:rPr>
        <w:t xml:space="preserve">ПРОЕКТ </w:t>
      </w:r>
      <w:r w:rsidR="00382DD5" w:rsidRPr="00ED4189">
        <w:rPr>
          <w:b/>
          <w:bCs/>
          <w:sz w:val="28"/>
          <w:szCs w:val="28"/>
        </w:rPr>
        <w:t>РЕШЕНИ</w:t>
      </w:r>
      <w:r>
        <w:rPr>
          <w:b/>
          <w:bCs/>
          <w:sz w:val="28"/>
          <w:szCs w:val="28"/>
        </w:rPr>
        <w:t>Я</w:t>
      </w:r>
    </w:p>
    <w:p w:rsidR="00382DD5" w:rsidRDefault="00382DD5" w:rsidP="00382DD5">
      <w:pPr>
        <w:rPr>
          <w:bCs/>
        </w:rPr>
      </w:pPr>
    </w:p>
    <w:p w:rsidR="00382DD5" w:rsidRDefault="006547F4" w:rsidP="00382DD5">
      <w:pPr>
        <w:tabs>
          <w:tab w:val="left" w:pos="7797"/>
        </w:tabs>
        <w:rPr>
          <w:bCs/>
          <w:sz w:val="28"/>
          <w:szCs w:val="28"/>
        </w:rPr>
      </w:pPr>
      <w:r>
        <w:rPr>
          <w:b/>
          <w:bCs/>
          <w:sz w:val="28"/>
          <w:szCs w:val="28"/>
        </w:rPr>
        <w:t>____________</w:t>
      </w:r>
      <w:r w:rsidR="00382DD5" w:rsidRPr="00ED4189">
        <w:rPr>
          <w:b/>
          <w:bCs/>
          <w:sz w:val="28"/>
          <w:szCs w:val="28"/>
        </w:rPr>
        <w:t>2017 г.</w:t>
      </w:r>
      <w:r w:rsidR="00382DD5">
        <w:rPr>
          <w:bCs/>
          <w:sz w:val="28"/>
          <w:szCs w:val="28"/>
        </w:rPr>
        <w:t xml:space="preserve">                                                                </w:t>
      </w:r>
      <w:r w:rsidR="00382DD5">
        <w:rPr>
          <w:bCs/>
          <w:sz w:val="28"/>
          <w:szCs w:val="28"/>
        </w:rPr>
        <w:tab/>
      </w:r>
      <w:r w:rsidR="00382DD5">
        <w:rPr>
          <w:b/>
          <w:bCs/>
          <w:sz w:val="28"/>
          <w:szCs w:val="28"/>
        </w:rPr>
        <w:t xml:space="preserve">№ </w:t>
      </w:r>
      <w:r>
        <w:rPr>
          <w:b/>
          <w:bCs/>
          <w:sz w:val="28"/>
          <w:szCs w:val="28"/>
        </w:rPr>
        <w:t>__</w:t>
      </w:r>
      <w:r w:rsidR="00382DD5" w:rsidRPr="00ED4189">
        <w:rPr>
          <w:b/>
          <w:bCs/>
          <w:sz w:val="28"/>
          <w:szCs w:val="28"/>
        </w:rPr>
        <w:t>/</w:t>
      </w:r>
      <w:r w:rsidR="00382DD5">
        <w:rPr>
          <w:b/>
          <w:bCs/>
          <w:sz w:val="28"/>
          <w:szCs w:val="28"/>
        </w:rPr>
        <w:t>1</w:t>
      </w:r>
      <w:r w:rsidR="00D33737">
        <w:rPr>
          <w:b/>
          <w:bCs/>
          <w:sz w:val="28"/>
          <w:szCs w:val="28"/>
        </w:rPr>
        <w:t>2</w:t>
      </w:r>
      <w:r w:rsidR="00382DD5" w:rsidRPr="00ED4189">
        <w:rPr>
          <w:b/>
          <w:bCs/>
          <w:sz w:val="28"/>
          <w:szCs w:val="28"/>
        </w:rPr>
        <w:t>- СС</w:t>
      </w:r>
      <w:r w:rsidR="00382DD5">
        <w:rPr>
          <w:bCs/>
          <w:sz w:val="28"/>
          <w:szCs w:val="28"/>
        </w:rPr>
        <w:t xml:space="preserve">                                                                                                        </w:t>
      </w:r>
    </w:p>
    <w:p w:rsidR="00382DD5" w:rsidRDefault="00382DD5" w:rsidP="00382DD5">
      <w:pPr>
        <w:ind w:firstLine="6379"/>
        <w:rPr>
          <w:b/>
          <w:sz w:val="28"/>
          <w:szCs w:val="28"/>
        </w:rPr>
      </w:pPr>
    </w:p>
    <w:p w:rsidR="00382DD5" w:rsidRPr="008550E1" w:rsidRDefault="00382DD5" w:rsidP="00382DD5">
      <w:pPr>
        <w:ind w:firstLine="5387"/>
        <w:jc w:val="right"/>
        <w:rPr>
          <w:b/>
          <w:sz w:val="28"/>
          <w:szCs w:val="28"/>
        </w:rPr>
      </w:pPr>
      <w:r>
        <w:rPr>
          <w:b/>
          <w:sz w:val="28"/>
          <w:szCs w:val="28"/>
        </w:rPr>
        <w:t>Принято на 1</w:t>
      </w:r>
      <w:r w:rsidR="007733E4">
        <w:rPr>
          <w:b/>
          <w:sz w:val="28"/>
          <w:szCs w:val="28"/>
        </w:rPr>
        <w:t>2</w:t>
      </w:r>
      <w:r w:rsidRPr="008550E1">
        <w:rPr>
          <w:b/>
          <w:sz w:val="28"/>
          <w:szCs w:val="28"/>
        </w:rPr>
        <w:t xml:space="preserve"> заседании</w:t>
      </w:r>
    </w:p>
    <w:p w:rsidR="00382DD5" w:rsidRDefault="00382DD5" w:rsidP="00382DD5">
      <w:pPr>
        <w:ind w:left="5387"/>
        <w:jc w:val="right"/>
        <w:rPr>
          <w:b/>
          <w:sz w:val="28"/>
          <w:szCs w:val="28"/>
        </w:rPr>
      </w:pPr>
      <w:proofErr w:type="spellStart"/>
      <w:r>
        <w:rPr>
          <w:b/>
          <w:sz w:val="28"/>
          <w:szCs w:val="28"/>
        </w:rPr>
        <w:t>Горбуновского</w:t>
      </w:r>
      <w:proofErr w:type="spellEnd"/>
      <w:r>
        <w:rPr>
          <w:b/>
          <w:sz w:val="28"/>
          <w:szCs w:val="28"/>
        </w:rPr>
        <w:t xml:space="preserve"> сельского </w:t>
      </w:r>
      <w:r w:rsidRPr="008550E1">
        <w:rPr>
          <w:b/>
          <w:sz w:val="28"/>
          <w:szCs w:val="28"/>
        </w:rPr>
        <w:t>Совета</w:t>
      </w:r>
      <w:r>
        <w:rPr>
          <w:b/>
          <w:sz w:val="28"/>
          <w:szCs w:val="28"/>
        </w:rPr>
        <w:t xml:space="preserve"> </w:t>
      </w:r>
      <w:r w:rsidRPr="008550E1">
        <w:rPr>
          <w:b/>
          <w:sz w:val="28"/>
          <w:szCs w:val="28"/>
        </w:rPr>
        <w:t>народных депутатов</w:t>
      </w:r>
    </w:p>
    <w:p w:rsidR="00382DD5" w:rsidRPr="00ED4189" w:rsidRDefault="00382DD5" w:rsidP="00382DD5">
      <w:pPr>
        <w:ind w:left="5387"/>
        <w:jc w:val="right"/>
        <w:rPr>
          <w:b/>
          <w:sz w:val="28"/>
          <w:szCs w:val="28"/>
        </w:rPr>
      </w:pPr>
    </w:p>
    <w:tbl>
      <w:tblPr>
        <w:tblW w:w="5000" w:type="pct"/>
        <w:tblLook w:val="01E0"/>
      </w:tblPr>
      <w:tblGrid>
        <w:gridCol w:w="4927"/>
        <w:gridCol w:w="4644"/>
      </w:tblGrid>
      <w:tr w:rsidR="00382DD5" w:rsidTr="00022268">
        <w:tc>
          <w:tcPr>
            <w:tcW w:w="2574" w:type="pct"/>
          </w:tcPr>
          <w:p w:rsidR="00382DD5" w:rsidRPr="00D33737" w:rsidRDefault="00D33737" w:rsidP="00D33737">
            <w:pPr>
              <w:jc w:val="both"/>
              <w:rPr>
                <w:b/>
                <w:sz w:val="28"/>
                <w:szCs w:val="28"/>
              </w:rPr>
            </w:pPr>
            <w:r w:rsidRPr="00D33737">
              <w:rPr>
                <w:b/>
                <w:sz w:val="28"/>
                <w:szCs w:val="28"/>
              </w:rPr>
              <w:t xml:space="preserve">«О внесении изменений в Правила землепользования и застройки </w:t>
            </w:r>
            <w:proofErr w:type="spellStart"/>
            <w:r w:rsidRPr="00D33737">
              <w:rPr>
                <w:b/>
                <w:sz w:val="28"/>
                <w:szCs w:val="28"/>
              </w:rPr>
              <w:t>Горбуновского</w:t>
            </w:r>
            <w:proofErr w:type="spellEnd"/>
            <w:r w:rsidRPr="00D33737">
              <w:rPr>
                <w:b/>
                <w:sz w:val="28"/>
                <w:szCs w:val="28"/>
              </w:rPr>
              <w:t xml:space="preserve"> сельского поселения Дмитровского района Орловской области»</w:t>
            </w:r>
          </w:p>
        </w:tc>
        <w:tc>
          <w:tcPr>
            <w:tcW w:w="2426" w:type="pct"/>
          </w:tcPr>
          <w:p w:rsidR="00382DD5" w:rsidRPr="00ED4189" w:rsidRDefault="00382DD5" w:rsidP="00022268">
            <w:pPr>
              <w:tabs>
                <w:tab w:val="left" w:pos="7797"/>
              </w:tabs>
              <w:rPr>
                <w:b/>
                <w:bCs/>
                <w:sz w:val="28"/>
                <w:szCs w:val="28"/>
              </w:rPr>
            </w:pPr>
          </w:p>
        </w:tc>
      </w:tr>
    </w:tbl>
    <w:p w:rsidR="00382DD5" w:rsidRPr="00AD59B3" w:rsidRDefault="00382DD5" w:rsidP="00382DD5">
      <w:pPr>
        <w:ind w:firstLine="709"/>
        <w:jc w:val="both"/>
        <w:rPr>
          <w:sz w:val="28"/>
          <w:szCs w:val="28"/>
        </w:rPr>
      </w:pPr>
    </w:p>
    <w:p w:rsidR="00382DD5" w:rsidRPr="00491EBC" w:rsidRDefault="00D33737" w:rsidP="00382DD5">
      <w:pPr>
        <w:ind w:firstLine="709"/>
        <w:jc w:val="both"/>
        <w:rPr>
          <w:sz w:val="28"/>
          <w:szCs w:val="28"/>
        </w:rPr>
      </w:pPr>
      <w:proofErr w:type="gramStart"/>
      <w:r>
        <w:rPr>
          <w:sz w:val="28"/>
          <w:szCs w:val="28"/>
        </w:rPr>
        <w:t xml:space="preserve">В соответствии со статьями 31-33 Градостроительного кодекса Российской Федерации от 29.11.2004г. №190-ФЗ, Федеральным законом от 06.10.2003г. №131-ФЗ «Об общих принципах организации местного самоуправления в Российской Федерации», Уставом </w:t>
      </w:r>
      <w:proofErr w:type="spellStart"/>
      <w:r>
        <w:rPr>
          <w:sz w:val="28"/>
          <w:szCs w:val="28"/>
        </w:rPr>
        <w:t>Горбуновского</w:t>
      </w:r>
      <w:proofErr w:type="spellEnd"/>
      <w:r>
        <w:rPr>
          <w:sz w:val="28"/>
          <w:szCs w:val="28"/>
        </w:rPr>
        <w:t xml:space="preserve"> сельского поселения Дмитровского района Орловской области, рассмотрев представленные </w:t>
      </w:r>
      <w:r w:rsidR="007568AC">
        <w:rPr>
          <w:sz w:val="28"/>
          <w:szCs w:val="28"/>
        </w:rPr>
        <w:t>Управлением градостроительства, архитектуры и землеустройства Орловской области</w:t>
      </w:r>
      <w:r>
        <w:rPr>
          <w:sz w:val="28"/>
          <w:szCs w:val="28"/>
        </w:rPr>
        <w:t xml:space="preserve"> материалы по проекту внесения изменений в Правила землепользования и застройки, утверждённые решением </w:t>
      </w:r>
      <w:proofErr w:type="spellStart"/>
      <w:r w:rsidR="007568AC">
        <w:rPr>
          <w:sz w:val="28"/>
          <w:szCs w:val="28"/>
        </w:rPr>
        <w:t>Горбуновского</w:t>
      </w:r>
      <w:proofErr w:type="spellEnd"/>
      <w:r w:rsidR="007568AC">
        <w:rPr>
          <w:sz w:val="28"/>
          <w:szCs w:val="28"/>
        </w:rPr>
        <w:t xml:space="preserve"> сельского </w:t>
      </w:r>
      <w:r>
        <w:rPr>
          <w:sz w:val="28"/>
          <w:szCs w:val="28"/>
        </w:rPr>
        <w:t>Совета</w:t>
      </w:r>
      <w:proofErr w:type="gramEnd"/>
      <w:r>
        <w:rPr>
          <w:sz w:val="28"/>
          <w:szCs w:val="28"/>
        </w:rPr>
        <w:t xml:space="preserve"> народных депутатов от </w:t>
      </w:r>
      <w:r w:rsidR="007568AC">
        <w:rPr>
          <w:sz w:val="28"/>
          <w:szCs w:val="28"/>
        </w:rPr>
        <w:t>30</w:t>
      </w:r>
      <w:r>
        <w:rPr>
          <w:sz w:val="28"/>
          <w:szCs w:val="28"/>
        </w:rPr>
        <w:t>.</w:t>
      </w:r>
      <w:r w:rsidR="007568AC">
        <w:rPr>
          <w:sz w:val="28"/>
          <w:szCs w:val="28"/>
        </w:rPr>
        <w:t>05</w:t>
      </w:r>
      <w:r>
        <w:rPr>
          <w:sz w:val="28"/>
          <w:szCs w:val="28"/>
        </w:rPr>
        <w:t>.201</w:t>
      </w:r>
      <w:r w:rsidR="007568AC">
        <w:rPr>
          <w:sz w:val="28"/>
          <w:szCs w:val="28"/>
        </w:rPr>
        <w:t>3</w:t>
      </w:r>
      <w:r>
        <w:rPr>
          <w:sz w:val="28"/>
          <w:szCs w:val="28"/>
        </w:rPr>
        <w:t xml:space="preserve"> № </w:t>
      </w:r>
      <w:r w:rsidR="007568AC">
        <w:rPr>
          <w:sz w:val="28"/>
          <w:szCs w:val="28"/>
        </w:rPr>
        <w:t>63</w:t>
      </w:r>
      <w:r>
        <w:rPr>
          <w:sz w:val="28"/>
          <w:szCs w:val="28"/>
        </w:rPr>
        <w:t>-</w:t>
      </w:r>
      <w:r w:rsidR="007568AC">
        <w:rPr>
          <w:sz w:val="28"/>
          <w:szCs w:val="28"/>
        </w:rPr>
        <w:t>С</w:t>
      </w:r>
      <w:r>
        <w:rPr>
          <w:sz w:val="28"/>
          <w:szCs w:val="28"/>
        </w:rPr>
        <w:t xml:space="preserve">С, протокол проведения публичных слушаний от </w:t>
      </w:r>
      <w:r w:rsidR="00E213DF">
        <w:rPr>
          <w:sz w:val="28"/>
          <w:szCs w:val="28"/>
        </w:rPr>
        <w:t>31</w:t>
      </w:r>
      <w:r>
        <w:rPr>
          <w:sz w:val="28"/>
          <w:szCs w:val="28"/>
        </w:rPr>
        <w:t xml:space="preserve"> </w:t>
      </w:r>
      <w:r w:rsidR="00E213DF">
        <w:rPr>
          <w:sz w:val="28"/>
          <w:szCs w:val="28"/>
        </w:rPr>
        <w:t>марта</w:t>
      </w:r>
      <w:r>
        <w:rPr>
          <w:sz w:val="28"/>
          <w:szCs w:val="28"/>
        </w:rPr>
        <w:t xml:space="preserve"> 201</w:t>
      </w:r>
      <w:r w:rsidR="00E213DF">
        <w:rPr>
          <w:sz w:val="28"/>
          <w:szCs w:val="28"/>
        </w:rPr>
        <w:t>7</w:t>
      </w:r>
      <w:r>
        <w:rPr>
          <w:sz w:val="28"/>
          <w:szCs w:val="28"/>
        </w:rPr>
        <w:t xml:space="preserve"> года, заключение о результатах публичных слушаний от </w:t>
      </w:r>
      <w:r w:rsidR="00B048B1">
        <w:rPr>
          <w:sz w:val="28"/>
          <w:szCs w:val="28"/>
        </w:rPr>
        <w:t>31</w:t>
      </w:r>
      <w:r>
        <w:rPr>
          <w:sz w:val="28"/>
          <w:szCs w:val="28"/>
        </w:rPr>
        <w:t xml:space="preserve"> </w:t>
      </w:r>
      <w:r w:rsidR="00B048B1">
        <w:rPr>
          <w:sz w:val="28"/>
          <w:szCs w:val="28"/>
        </w:rPr>
        <w:t>марта</w:t>
      </w:r>
      <w:r>
        <w:rPr>
          <w:sz w:val="28"/>
          <w:szCs w:val="28"/>
        </w:rPr>
        <w:t xml:space="preserve"> 201</w:t>
      </w:r>
      <w:r w:rsidR="00B048B1">
        <w:rPr>
          <w:sz w:val="28"/>
          <w:szCs w:val="28"/>
        </w:rPr>
        <w:t>7</w:t>
      </w:r>
      <w:r>
        <w:rPr>
          <w:sz w:val="28"/>
          <w:szCs w:val="28"/>
        </w:rPr>
        <w:t xml:space="preserve"> года</w:t>
      </w:r>
      <w:r w:rsidR="00382DD5" w:rsidRPr="00491EBC">
        <w:rPr>
          <w:sz w:val="28"/>
          <w:szCs w:val="28"/>
        </w:rPr>
        <w:t xml:space="preserve">, </w:t>
      </w:r>
      <w:proofErr w:type="spellStart"/>
      <w:r w:rsidR="00382DD5" w:rsidRPr="00491EBC">
        <w:rPr>
          <w:sz w:val="28"/>
          <w:szCs w:val="28"/>
        </w:rPr>
        <w:t>Горбуновский</w:t>
      </w:r>
      <w:proofErr w:type="spellEnd"/>
      <w:r w:rsidR="00382DD5" w:rsidRPr="00491EBC">
        <w:rPr>
          <w:sz w:val="28"/>
          <w:szCs w:val="28"/>
        </w:rPr>
        <w:t xml:space="preserve"> сельский Совет народных депутатов</w:t>
      </w:r>
    </w:p>
    <w:p w:rsidR="00382DD5" w:rsidRDefault="00382DD5" w:rsidP="00382DD5">
      <w:pPr>
        <w:ind w:firstLine="709"/>
        <w:jc w:val="both"/>
        <w:rPr>
          <w:sz w:val="28"/>
          <w:szCs w:val="28"/>
        </w:rPr>
      </w:pPr>
      <w:r>
        <w:rPr>
          <w:sz w:val="28"/>
          <w:szCs w:val="28"/>
        </w:rPr>
        <w:t xml:space="preserve"> </w:t>
      </w:r>
    </w:p>
    <w:p w:rsidR="00382DD5" w:rsidRDefault="00382DD5" w:rsidP="00382DD5">
      <w:pPr>
        <w:ind w:firstLine="709"/>
        <w:jc w:val="both"/>
        <w:rPr>
          <w:sz w:val="28"/>
          <w:szCs w:val="28"/>
        </w:rPr>
      </w:pPr>
      <w:r w:rsidRPr="00455AC0">
        <w:rPr>
          <w:sz w:val="28"/>
          <w:szCs w:val="28"/>
        </w:rPr>
        <w:t>РЕШИЛ:</w:t>
      </w:r>
    </w:p>
    <w:p w:rsidR="00382DD5" w:rsidRDefault="00382DD5" w:rsidP="00382DD5">
      <w:pPr>
        <w:ind w:firstLine="709"/>
        <w:jc w:val="both"/>
        <w:rPr>
          <w:sz w:val="28"/>
          <w:szCs w:val="28"/>
        </w:rPr>
      </w:pPr>
    </w:p>
    <w:p w:rsidR="00B048B1" w:rsidRDefault="00B048B1" w:rsidP="00B048B1">
      <w:pPr>
        <w:ind w:firstLine="709"/>
        <w:jc w:val="both"/>
        <w:rPr>
          <w:bCs/>
          <w:sz w:val="28"/>
          <w:szCs w:val="28"/>
        </w:rPr>
      </w:pPr>
      <w:r>
        <w:rPr>
          <w:bCs/>
          <w:sz w:val="28"/>
          <w:szCs w:val="28"/>
        </w:rPr>
        <w:t xml:space="preserve">1. Внести в текстовую часть Правил землепользования и застройки </w:t>
      </w:r>
      <w:proofErr w:type="spellStart"/>
      <w:r>
        <w:rPr>
          <w:bCs/>
          <w:sz w:val="28"/>
          <w:szCs w:val="28"/>
        </w:rPr>
        <w:t>Горбуновского</w:t>
      </w:r>
      <w:proofErr w:type="spellEnd"/>
      <w:r>
        <w:rPr>
          <w:bCs/>
          <w:sz w:val="28"/>
          <w:szCs w:val="28"/>
        </w:rPr>
        <w:t xml:space="preserve"> сельского поселения, утвержденные решением </w:t>
      </w:r>
      <w:proofErr w:type="spellStart"/>
      <w:r>
        <w:rPr>
          <w:bCs/>
          <w:sz w:val="28"/>
          <w:szCs w:val="28"/>
        </w:rPr>
        <w:t>Горбуновского</w:t>
      </w:r>
      <w:proofErr w:type="spellEnd"/>
      <w:r>
        <w:rPr>
          <w:bCs/>
          <w:sz w:val="28"/>
          <w:szCs w:val="28"/>
        </w:rPr>
        <w:t xml:space="preserve"> сельского Совета народных депутатов о</w:t>
      </w:r>
      <w:r w:rsidR="00BE6D1A">
        <w:rPr>
          <w:bCs/>
          <w:sz w:val="28"/>
          <w:szCs w:val="28"/>
        </w:rPr>
        <w:t xml:space="preserve">т 30.05.2013г. №63-СС </w:t>
      </w:r>
      <w:r>
        <w:rPr>
          <w:bCs/>
          <w:sz w:val="28"/>
          <w:szCs w:val="28"/>
        </w:rPr>
        <w:t>изменения</w:t>
      </w:r>
      <w:r w:rsidR="00BE6D1A">
        <w:rPr>
          <w:bCs/>
          <w:sz w:val="28"/>
          <w:szCs w:val="28"/>
        </w:rPr>
        <w:t xml:space="preserve"> согласно Приложению 1.</w:t>
      </w:r>
    </w:p>
    <w:p w:rsidR="00BE6D1A" w:rsidRDefault="00BE6D1A" w:rsidP="00BE6D1A">
      <w:pPr>
        <w:ind w:firstLine="709"/>
        <w:jc w:val="both"/>
        <w:rPr>
          <w:bCs/>
          <w:sz w:val="28"/>
          <w:szCs w:val="28"/>
        </w:rPr>
      </w:pPr>
      <w:r>
        <w:rPr>
          <w:bCs/>
          <w:sz w:val="28"/>
          <w:szCs w:val="28"/>
        </w:rPr>
        <w:t xml:space="preserve">2. Внести в графическую часть Правил землепользования и застройки </w:t>
      </w:r>
      <w:proofErr w:type="spellStart"/>
      <w:r>
        <w:rPr>
          <w:bCs/>
          <w:sz w:val="28"/>
          <w:szCs w:val="28"/>
        </w:rPr>
        <w:t>Горбуновского</w:t>
      </w:r>
      <w:proofErr w:type="spellEnd"/>
      <w:r>
        <w:rPr>
          <w:bCs/>
          <w:sz w:val="28"/>
          <w:szCs w:val="28"/>
        </w:rPr>
        <w:t xml:space="preserve"> сельского поселения изменения согласно прилагаемой карте (Приложение 2).</w:t>
      </w:r>
    </w:p>
    <w:p w:rsidR="00BE6D1A" w:rsidRPr="00A06FE3" w:rsidRDefault="00BE6D1A" w:rsidP="00BE6D1A">
      <w:pPr>
        <w:ind w:firstLine="709"/>
        <w:jc w:val="both"/>
        <w:rPr>
          <w:bCs/>
          <w:sz w:val="28"/>
          <w:szCs w:val="28"/>
        </w:rPr>
      </w:pPr>
      <w:r>
        <w:rPr>
          <w:bCs/>
          <w:sz w:val="28"/>
          <w:szCs w:val="28"/>
        </w:rPr>
        <w:t xml:space="preserve">3. </w:t>
      </w:r>
      <w:r w:rsidRPr="00A06FE3">
        <w:rPr>
          <w:bCs/>
          <w:sz w:val="28"/>
          <w:szCs w:val="28"/>
        </w:rPr>
        <w:t xml:space="preserve">Настоящее решение подлежит официальному </w:t>
      </w:r>
      <w:r>
        <w:rPr>
          <w:bCs/>
          <w:sz w:val="28"/>
          <w:szCs w:val="28"/>
        </w:rPr>
        <w:t>опубликованию</w:t>
      </w:r>
      <w:r w:rsidRPr="00A06FE3">
        <w:rPr>
          <w:bCs/>
          <w:sz w:val="28"/>
          <w:szCs w:val="28"/>
        </w:rPr>
        <w:t xml:space="preserve"> и размещению в информационно – телекоммуникационной сети «Интернет» на официальном сайте </w:t>
      </w:r>
      <w:r>
        <w:rPr>
          <w:bCs/>
          <w:sz w:val="28"/>
          <w:szCs w:val="28"/>
        </w:rPr>
        <w:t xml:space="preserve">администрации </w:t>
      </w:r>
      <w:proofErr w:type="spellStart"/>
      <w:r>
        <w:rPr>
          <w:bCs/>
          <w:sz w:val="28"/>
          <w:szCs w:val="28"/>
        </w:rPr>
        <w:t>Горбуновского</w:t>
      </w:r>
      <w:proofErr w:type="spellEnd"/>
      <w:r>
        <w:rPr>
          <w:bCs/>
          <w:sz w:val="28"/>
          <w:szCs w:val="28"/>
        </w:rPr>
        <w:t xml:space="preserve"> сельского поселения</w:t>
      </w:r>
      <w:r w:rsidRPr="00A06FE3">
        <w:rPr>
          <w:bCs/>
          <w:sz w:val="28"/>
          <w:szCs w:val="28"/>
        </w:rPr>
        <w:t>.</w:t>
      </w:r>
    </w:p>
    <w:p w:rsidR="00BE6D1A" w:rsidRDefault="00BE6D1A" w:rsidP="00BE6D1A">
      <w:pPr>
        <w:ind w:firstLine="709"/>
        <w:jc w:val="both"/>
        <w:rPr>
          <w:bCs/>
          <w:sz w:val="28"/>
          <w:szCs w:val="28"/>
        </w:rPr>
      </w:pPr>
      <w:r>
        <w:rPr>
          <w:bCs/>
          <w:sz w:val="28"/>
          <w:szCs w:val="28"/>
        </w:rPr>
        <w:lastRenderedPageBreak/>
        <w:t>4</w:t>
      </w:r>
      <w:r w:rsidRPr="00A06FE3">
        <w:rPr>
          <w:bCs/>
          <w:sz w:val="28"/>
          <w:szCs w:val="28"/>
        </w:rPr>
        <w:t xml:space="preserve">. Настоящее решение вступает в силу </w:t>
      </w:r>
      <w:r>
        <w:rPr>
          <w:bCs/>
          <w:sz w:val="28"/>
          <w:szCs w:val="28"/>
        </w:rPr>
        <w:t>после</w:t>
      </w:r>
      <w:r w:rsidRPr="00A06FE3">
        <w:rPr>
          <w:bCs/>
          <w:sz w:val="28"/>
          <w:szCs w:val="28"/>
        </w:rPr>
        <w:t xml:space="preserve"> его официального </w:t>
      </w:r>
      <w:r>
        <w:rPr>
          <w:bCs/>
          <w:sz w:val="28"/>
          <w:szCs w:val="28"/>
        </w:rPr>
        <w:t>опубликования.</w:t>
      </w:r>
    </w:p>
    <w:p w:rsidR="00BE6D1A" w:rsidRDefault="00BE6D1A" w:rsidP="00BE6D1A">
      <w:pPr>
        <w:ind w:firstLine="709"/>
        <w:jc w:val="both"/>
        <w:rPr>
          <w:bCs/>
          <w:sz w:val="28"/>
          <w:szCs w:val="28"/>
        </w:rPr>
      </w:pPr>
    </w:p>
    <w:p w:rsidR="00BE6D1A" w:rsidRDefault="00BE6D1A" w:rsidP="00BE6D1A">
      <w:pPr>
        <w:ind w:firstLine="709"/>
        <w:jc w:val="both"/>
        <w:rPr>
          <w:sz w:val="28"/>
          <w:szCs w:val="28"/>
        </w:rPr>
      </w:pPr>
    </w:p>
    <w:p w:rsidR="00BE6D1A" w:rsidRDefault="00BE6D1A" w:rsidP="00BE6D1A">
      <w:pPr>
        <w:ind w:firstLine="709"/>
        <w:jc w:val="both"/>
        <w:rPr>
          <w:sz w:val="28"/>
          <w:szCs w:val="28"/>
        </w:rPr>
      </w:pPr>
    </w:p>
    <w:p w:rsidR="00BE6D1A" w:rsidRDefault="00BE6D1A" w:rsidP="00BE6D1A">
      <w:pPr>
        <w:jc w:val="both"/>
        <w:rPr>
          <w:sz w:val="28"/>
          <w:szCs w:val="28"/>
        </w:rPr>
      </w:pPr>
      <w:r>
        <w:rPr>
          <w:sz w:val="28"/>
          <w:szCs w:val="28"/>
        </w:rPr>
        <w:t xml:space="preserve">Глава </w:t>
      </w:r>
      <w:proofErr w:type="spellStart"/>
      <w:r>
        <w:rPr>
          <w:sz w:val="28"/>
          <w:szCs w:val="28"/>
        </w:rPr>
        <w:t>Горбуновского</w:t>
      </w:r>
      <w:proofErr w:type="spellEnd"/>
      <w:r>
        <w:rPr>
          <w:sz w:val="28"/>
          <w:szCs w:val="28"/>
        </w:rPr>
        <w:t xml:space="preserve"> сельского поселения                                      А.В. Родичев</w:t>
      </w:r>
    </w:p>
    <w:p w:rsidR="00BE6D1A" w:rsidRDefault="00BE6D1A" w:rsidP="00B048B1">
      <w:pPr>
        <w:ind w:firstLine="709"/>
        <w:jc w:val="both"/>
        <w:rPr>
          <w:bCs/>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r w:rsidRPr="00BE6D1A">
        <w:rPr>
          <w:color w:val="000000" w:themeColor="text1"/>
          <w:sz w:val="20"/>
          <w:szCs w:val="20"/>
        </w:rPr>
        <w:lastRenderedPageBreak/>
        <w:t>Приложение</w:t>
      </w:r>
      <w:r>
        <w:rPr>
          <w:color w:val="000000" w:themeColor="text1"/>
          <w:sz w:val="20"/>
          <w:szCs w:val="20"/>
        </w:rPr>
        <w:t xml:space="preserve"> 1 к решению от ________2017</w:t>
      </w:r>
    </w:p>
    <w:p w:rsidR="00BE6D1A" w:rsidRPr="00BE6D1A" w:rsidRDefault="00BE6D1A" w:rsidP="00BE6D1A">
      <w:pPr>
        <w:tabs>
          <w:tab w:val="left" w:pos="1134"/>
        </w:tabs>
        <w:ind w:firstLine="709"/>
        <w:jc w:val="right"/>
        <w:rPr>
          <w:color w:val="000000" w:themeColor="text1"/>
          <w:sz w:val="20"/>
          <w:szCs w:val="20"/>
        </w:rPr>
      </w:pPr>
      <w:r w:rsidRPr="00BE6D1A">
        <w:rPr>
          <w:color w:val="000000" w:themeColor="text1"/>
          <w:sz w:val="20"/>
          <w:szCs w:val="20"/>
        </w:rPr>
        <w:t xml:space="preserve"> </w:t>
      </w:r>
    </w:p>
    <w:p w:rsidR="00B048B1" w:rsidRPr="00A233D6" w:rsidRDefault="00B048B1" w:rsidP="00B048B1">
      <w:pPr>
        <w:tabs>
          <w:tab w:val="left" w:pos="1134"/>
        </w:tabs>
        <w:ind w:firstLine="709"/>
        <w:jc w:val="both"/>
        <w:rPr>
          <w:b/>
          <w:color w:val="000000" w:themeColor="text1"/>
          <w:sz w:val="28"/>
          <w:szCs w:val="28"/>
        </w:rPr>
      </w:pPr>
      <w:r w:rsidRPr="00A233D6">
        <w:rPr>
          <w:b/>
          <w:color w:val="000000" w:themeColor="text1"/>
          <w:sz w:val="28"/>
          <w:szCs w:val="28"/>
          <w:lang w:val="en-US"/>
        </w:rPr>
        <w:t>I</w:t>
      </w:r>
      <w:r w:rsidRPr="00A233D6">
        <w:rPr>
          <w:b/>
          <w:color w:val="000000" w:themeColor="text1"/>
          <w:sz w:val="28"/>
          <w:szCs w:val="28"/>
        </w:rPr>
        <w:t>. Внести в часть I следующие изменения:</w:t>
      </w:r>
    </w:p>
    <w:p w:rsidR="00B048B1" w:rsidRPr="00A233D6" w:rsidRDefault="00B048B1" w:rsidP="00B048B1">
      <w:pPr>
        <w:pStyle w:val="a3"/>
        <w:numPr>
          <w:ilvl w:val="0"/>
          <w:numId w:val="1"/>
        </w:numPr>
        <w:tabs>
          <w:tab w:val="left" w:pos="1134"/>
        </w:tabs>
        <w:ind w:left="0" w:firstLine="709"/>
        <w:jc w:val="both"/>
        <w:rPr>
          <w:b/>
          <w:color w:val="000000" w:themeColor="text1"/>
          <w:sz w:val="28"/>
          <w:szCs w:val="28"/>
        </w:rPr>
      </w:pPr>
      <w:r w:rsidRPr="00A233D6">
        <w:rPr>
          <w:b/>
          <w:color w:val="000000" w:themeColor="text1"/>
          <w:sz w:val="28"/>
          <w:szCs w:val="28"/>
        </w:rPr>
        <w:t>наименование изложить в следующей редакции:</w:t>
      </w:r>
    </w:p>
    <w:p w:rsidR="00B048B1" w:rsidRDefault="00B048B1" w:rsidP="00B048B1">
      <w:pPr>
        <w:pStyle w:val="a3"/>
        <w:tabs>
          <w:tab w:val="left" w:pos="1134"/>
        </w:tabs>
        <w:ind w:left="0" w:firstLine="709"/>
        <w:jc w:val="both"/>
        <w:rPr>
          <w:color w:val="000000" w:themeColor="text1"/>
          <w:sz w:val="28"/>
          <w:szCs w:val="28"/>
        </w:rPr>
      </w:pPr>
      <w:r>
        <w:rPr>
          <w:color w:val="000000" w:themeColor="text1"/>
          <w:sz w:val="28"/>
          <w:szCs w:val="28"/>
        </w:rPr>
        <w:t>«</w:t>
      </w:r>
      <w:r w:rsidRPr="007B290F">
        <w:rPr>
          <w:color w:val="000000" w:themeColor="text1"/>
          <w:sz w:val="28"/>
          <w:szCs w:val="28"/>
        </w:rPr>
        <w:t>Часть I. Порядок применения правил</w:t>
      </w:r>
      <w:r>
        <w:rPr>
          <w:color w:val="000000" w:themeColor="text1"/>
          <w:sz w:val="28"/>
          <w:szCs w:val="28"/>
        </w:rPr>
        <w:t xml:space="preserve"> землепользования и застройки. </w:t>
      </w:r>
      <w:r w:rsidRPr="007B290F">
        <w:rPr>
          <w:color w:val="000000" w:themeColor="text1"/>
          <w:sz w:val="28"/>
          <w:szCs w:val="28"/>
        </w:rPr>
        <w:t xml:space="preserve">Порядок </w:t>
      </w:r>
      <w:proofErr w:type="gramStart"/>
      <w:r w:rsidRPr="007B290F">
        <w:rPr>
          <w:color w:val="000000" w:themeColor="text1"/>
          <w:sz w:val="28"/>
          <w:szCs w:val="28"/>
        </w:rPr>
        <w:t>внесении</w:t>
      </w:r>
      <w:proofErr w:type="gramEnd"/>
      <w:r w:rsidRPr="007B290F">
        <w:rPr>
          <w:color w:val="000000" w:themeColor="text1"/>
          <w:sz w:val="28"/>
          <w:szCs w:val="28"/>
        </w:rPr>
        <w:t xml:space="preserve"> изменений в правила землепользования и застройки</w:t>
      </w:r>
      <w:r>
        <w:rPr>
          <w:color w:val="000000" w:themeColor="text1"/>
          <w:sz w:val="28"/>
          <w:szCs w:val="28"/>
        </w:rPr>
        <w:t>»;</w:t>
      </w:r>
    </w:p>
    <w:p w:rsidR="00B048B1" w:rsidRPr="00A233D6" w:rsidRDefault="00B048B1" w:rsidP="00B048B1">
      <w:pPr>
        <w:pStyle w:val="a3"/>
        <w:numPr>
          <w:ilvl w:val="0"/>
          <w:numId w:val="1"/>
        </w:numPr>
        <w:tabs>
          <w:tab w:val="left" w:pos="1134"/>
        </w:tabs>
        <w:ind w:left="0" w:firstLine="709"/>
        <w:jc w:val="both"/>
        <w:rPr>
          <w:b/>
          <w:color w:val="000000" w:themeColor="text1"/>
          <w:sz w:val="28"/>
          <w:szCs w:val="28"/>
        </w:rPr>
      </w:pPr>
      <w:r w:rsidRPr="00A233D6">
        <w:rPr>
          <w:b/>
          <w:color w:val="000000" w:themeColor="text1"/>
          <w:sz w:val="28"/>
          <w:szCs w:val="28"/>
        </w:rPr>
        <w:t>в глав</w:t>
      </w:r>
      <w:r>
        <w:rPr>
          <w:b/>
          <w:color w:val="000000" w:themeColor="text1"/>
          <w:sz w:val="28"/>
          <w:szCs w:val="28"/>
        </w:rPr>
        <w:t>е</w:t>
      </w:r>
      <w:r w:rsidRPr="00A233D6">
        <w:rPr>
          <w:b/>
          <w:color w:val="000000" w:themeColor="text1"/>
          <w:sz w:val="28"/>
          <w:szCs w:val="28"/>
        </w:rPr>
        <w:t xml:space="preserve"> 1:</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а) дополнить словами следующего содержания:</w:t>
      </w:r>
    </w:p>
    <w:p w:rsidR="00B048B1" w:rsidRPr="0069374E" w:rsidRDefault="00B048B1" w:rsidP="00B048B1">
      <w:pPr>
        <w:tabs>
          <w:tab w:val="left" w:pos="1134"/>
        </w:tabs>
        <w:ind w:firstLine="709"/>
        <w:jc w:val="both"/>
        <w:rPr>
          <w:color w:val="000000" w:themeColor="text1"/>
          <w:sz w:val="28"/>
          <w:szCs w:val="28"/>
        </w:rPr>
      </w:pPr>
      <w:r>
        <w:rPr>
          <w:color w:val="000000" w:themeColor="text1"/>
          <w:sz w:val="28"/>
          <w:szCs w:val="28"/>
        </w:rPr>
        <w:t>«</w:t>
      </w:r>
      <w:r w:rsidRPr="0069374E">
        <w:rPr>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69374E">
        <w:rPr>
          <w:color w:val="000000" w:themeColor="text1"/>
          <w:sz w:val="28"/>
          <w:szCs w:val="28"/>
        </w:rPr>
        <w:t>по</w:t>
      </w:r>
      <w:proofErr w:type="gramEnd"/>
      <w:r w:rsidRPr="0069374E">
        <w:rPr>
          <w:color w:val="000000" w:themeColor="text1"/>
          <w:sz w:val="28"/>
          <w:szCs w:val="28"/>
        </w:rPr>
        <w:t>:</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048B1" w:rsidRPr="0069374E" w:rsidRDefault="00B048B1" w:rsidP="00B048B1">
      <w:pPr>
        <w:tabs>
          <w:tab w:val="left" w:pos="1134"/>
        </w:tabs>
        <w:ind w:firstLine="709"/>
        <w:jc w:val="both"/>
        <w:rPr>
          <w:color w:val="000000" w:themeColor="text1"/>
          <w:sz w:val="28"/>
          <w:szCs w:val="28"/>
        </w:rPr>
      </w:pPr>
      <w:proofErr w:type="gramStart"/>
      <w:r w:rsidRPr="0069374E">
        <w:rPr>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lastRenderedPageBreak/>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048B1" w:rsidRDefault="00B048B1" w:rsidP="00B048B1">
      <w:pPr>
        <w:tabs>
          <w:tab w:val="left" w:pos="1134"/>
        </w:tabs>
        <w:ind w:firstLine="709"/>
        <w:jc w:val="both"/>
        <w:rPr>
          <w:color w:val="000000" w:themeColor="text1"/>
          <w:sz w:val="28"/>
          <w:szCs w:val="28"/>
        </w:rPr>
      </w:pPr>
      <w:r w:rsidRPr="0069374E">
        <w:rPr>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Pr>
          <w:color w:val="000000" w:themeColor="text1"/>
          <w:sz w:val="28"/>
          <w:szCs w:val="28"/>
        </w:rPr>
        <w:t>.»</w:t>
      </w:r>
      <w:proofErr w:type="gramEnd"/>
      <w:r>
        <w:rPr>
          <w:color w:val="000000" w:themeColor="text1"/>
          <w:sz w:val="28"/>
          <w:szCs w:val="28"/>
        </w:rPr>
        <w:t>;</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б) наименование</w:t>
      </w:r>
      <w:r w:rsidRPr="001F7EBB">
        <w:rPr>
          <w:color w:val="000000" w:themeColor="text1"/>
          <w:sz w:val="28"/>
          <w:szCs w:val="28"/>
        </w:rPr>
        <w:t xml:space="preserve"> стать</w:t>
      </w:r>
      <w:r>
        <w:rPr>
          <w:color w:val="000000" w:themeColor="text1"/>
          <w:sz w:val="28"/>
          <w:szCs w:val="28"/>
        </w:rPr>
        <w:t>и</w:t>
      </w:r>
      <w:r w:rsidRPr="001F7EBB">
        <w:rPr>
          <w:color w:val="000000" w:themeColor="text1"/>
          <w:sz w:val="28"/>
          <w:szCs w:val="28"/>
        </w:rPr>
        <w:t xml:space="preserve"> 2 </w:t>
      </w:r>
      <w:r>
        <w:rPr>
          <w:color w:val="000000" w:themeColor="text1"/>
          <w:sz w:val="28"/>
          <w:szCs w:val="28"/>
        </w:rPr>
        <w:t>изложить в следующей редакции:</w:t>
      </w:r>
    </w:p>
    <w:p w:rsidR="00B048B1" w:rsidRPr="007B290F" w:rsidRDefault="00B048B1" w:rsidP="00B048B1">
      <w:pPr>
        <w:tabs>
          <w:tab w:val="left" w:pos="1134"/>
        </w:tabs>
        <w:ind w:firstLine="709"/>
        <w:jc w:val="both"/>
        <w:rPr>
          <w:color w:val="000000" w:themeColor="text1"/>
          <w:sz w:val="28"/>
          <w:szCs w:val="28"/>
        </w:rPr>
      </w:pPr>
      <w:r>
        <w:rPr>
          <w:color w:val="000000" w:themeColor="text1"/>
          <w:sz w:val="28"/>
          <w:szCs w:val="28"/>
        </w:rPr>
        <w:t>«</w:t>
      </w:r>
      <w:r w:rsidRPr="007B290F">
        <w:rPr>
          <w:color w:val="000000" w:themeColor="text1"/>
          <w:sz w:val="28"/>
          <w:szCs w:val="28"/>
        </w:rPr>
        <w:t>Статья 2. Регулирование землепользования и застройки органами местного самоуправления</w:t>
      </w:r>
      <w:r>
        <w:rPr>
          <w:color w:val="000000" w:themeColor="text1"/>
          <w:sz w:val="28"/>
          <w:szCs w:val="28"/>
        </w:rPr>
        <w:t>»;</w:t>
      </w:r>
    </w:p>
    <w:p w:rsidR="00B048B1" w:rsidRDefault="00B048B1" w:rsidP="00B048B1">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 xml:space="preserve">Настоящие Правила регламентируют деятельность органов местного самоуправления </w:t>
      </w:r>
      <w:proofErr w:type="gramStart"/>
      <w:r w:rsidRPr="001F7EBB">
        <w:rPr>
          <w:rFonts w:ascii="Times New Roman" w:hAnsi="Times New Roman"/>
          <w:color w:val="000000" w:themeColor="text1"/>
          <w:sz w:val="28"/>
          <w:szCs w:val="28"/>
        </w:rPr>
        <w:t>по</w:t>
      </w:r>
      <w:proofErr w:type="gramEnd"/>
      <w:r w:rsidRPr="001F7EBB">
        <w:rPr>
          <w:rFonts w:ascii="Times New Roman" w:hAnsi="Times New Roman"/>
          <w:color w:val="000000" w:themeColor="text1"/>
          <w:sz w:val="28"/>
          <w:szCs w:val="28"/>
        </w:rPr>
        <w:t>:</w:t>
      </w:r>
      <w:r>
        <w:rPr>
          <w:rFonts w:ascii="Times New Roman" w:hAnsi="Times New Roman"/>
          <w:color w:val="000000" w:themeColor="text1"/>
          <w:sz w:val="28"/>
          <w:szCs w:val="28"/>
        </w:rPr>
        <w:t>»;</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г) наименование</w:t>
      </w:r>
      <w:r w:rsidRPr="001F7EBB">
        <w:rPr>
          <w:color w:val="000000" w:themeColor="text1"/>
          <w:sz w:val="28"/>
          <w:szCs w:val="28"/>
        </w:rPr>
        <w:t xml:space="preserve"> стать</w:t>
      </w:r>
      <w:r>
        <w:rPr>
          <w:color w:val="000000" w:themeColor="text1"/>
          <w:sz w:val="28"/>
          <w:szCs w:val="28"/>
        </w:rPr>
        <w:t>и 3изложить в следующей редакции:</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w:t>
      </w:r>
      <w:r w:rsidRPr="007B290F">
        <w:rPr>
          <w:color w:val="000000" w:themeColor="text1"/>
          <w:sz w:val="28"/>
          <w:szCs w:val="28"/>
        </w:rPr>
        <w:t xml:space="preserve">Статья </w:t>
      </w:r>
      <w:r>
        <w:rPr>
          <w:color w:val="000000" w:themeColor="text1"/>
          <w:sz w:val="28"/>
          <w:szCs w:val="28"/>
        </w:rPr>
        <w:t>3</w:t>
      </w:r>
      <w:r w:rsidRPr="007B290F">
        <w:rPr>
          <w:color w:val="000000" w:themeColor="text1"/>
          <w:sz w:val="28"/>
          <w:szCs w:val="28"/>
        </w:rPr>
        <w:t xml:space="preserve">. </w:t>
      </w:r>
      <w:r w:rsidRPr="00F85313">
        <w:rPr>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color w:val="000000" w:themeColor="text1"/>
          <w:sz w:val="28"/>
          <w:szCs w:val="28"/>
        </w:rPr>
        <w:br/>
      </w:r>
      <w:r w:rsidRPr="00F85313">
        <w:rPr>
          <w:color w:val="000000" w:themeColor="text1"/>
          <w:sz w:val="28"/>
          <w:szCs w:val="28"/>
        </w:rPr>
        <w:t>и объектов капитального строительства физическими и юридическими лицами</w:t>
      </w:r>
      <w:r>
        <w:rPr>
          <w:color w:val="000000" w:themeColor="text1"/>
          <w:sz w:val="28"/>
          <w:szCs w:val="28"/>
        </w:rPr>
        <w:t>»;</w:t>
      </w:r>
    </w:p>
    <w:p w:rsidR="00B048B1" w:rsidRPr="00A233D6" w:rsidRDefault="00B048B1" w:rsidP="00B048B1">
      <w:pPr>
        <w:pStyle w:val="a3"/>
        <w:numPr>
          <w:ilvl w:val="0"/>
          <w:numId w:val="1"/>
        </w:numPr>
        <w:tabs>
          <w:tab w:val="left" w:pos="1134"/>
        </w:tabs>
        <w:ind w:left="0" w:firstLine="709"/>
        <w:jc w:val="both"/>
        <w:rPr>
          <w:b/>
          <w:color w:val="000000" w:themeColor="text1"/>
          <w:sz w:val="28"/>
          <w:szCs w:val="28"/>
        </w:rPr>
      </w:pPr>
      <w:r w:rsidRPr="00A233D6">
        <w:rPr>
          <w:b/>
          <w:color w:val="000000" w:themeColor="text1"/>
          <w:sz w:val="28"/>
          <w:szCs w:val="28"/>
        </w:rPr>
        <w:t xml:space="preserve">наименование </w:t>
      </w:r>
      <w:r>
        <w:rPr>
          <w:b/>
          <w:color w:val="000000" w:themeColor="text1"/>
          <w:sz w:val="28"/>
          <w:szCs w:val="28"/>
        </w:rPr>
        <w:t xml:space="preserve">главы </w:t>
      </w:r>
      <w:r w:rsidRPr="00A233D6">
        <w:rPr>
          <w:b/>
          <w:color w:val="000000" w:themeColor="text1"/>
          <w:sz w:val="28"/>
          <w:szCs w:val="28"/>
        </w:rPr>
        <w:t>4 изложить в следующей редакции:</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w:t>
      </w:r>
      <w:r w:rsidRPr="00F85313">
        <w:rPr>
          <w:color w:val="000000" w:themeColor="text1"/>
          <w:sz w:val="28"/>
          <w:szCs w:val="28"/>
        </w:rPr>
        <w:t>Глава 4. Подготовка документации по планировке территории органами местного самоуправления</w:t>
      </w:r>
      <w:r>
        <w:rPr>
          <w:color w:val="000000" w:themeColor="text1"/>
          <w:sz w:val="28"/>
          <w:szCs w:val="28"/>
        </w:rPr>
        <w:t>»;</w:t>
      </w:r>
    </w:p>
    <w:p w:rsidR="00B048B1" w:rsidRPr="00A233D6" w:rsidRDefault="00B048B1" w:rsidP="00B048B1">
      <w:pPr>
        <w:pStyle w:val="a3"/>
        <w:numPr>
          <w:ilvl w:val="0"/>
          <w:numId w:val="1"/>
        </w:numPr>
        <w:tabs>
          <w:tab w:val="left" w:pos="1134"/>
        </w:tabs>
        <w:ind w:left="0" w:firstLine="709"/>
        <w:jc w:val="both"/>
        <w:rPr>
          <w:b/>
          <w:color w:val="000000" w:themeColor="text1"/>
          <w:sz w:val="28"/>
          <w:szCs w:val="28"/>
        </w:rPr>
      </w:pPr>
      <w:r w:rsidRPr="00A233D6">
        <w:rPr>
          <w:b/>
          <w:color w:val="000000" w:themeColor="text1"/>
          <w:sz w:val="28"/>
          <w:szCs w:val="28"/>
        </w:rPr>
        <w:t>наименование глав</w:t>
      </w:r>
      <w:r>
        <w:rPr>
          <w:b/>
          <w:color w:val="000000" w:themeColor="text1"/>
          <w:sz w:val="28"/>
          <w:szCs w:val="28"/>
        </w:rPr>
        <w:t>ы</w:t>
      </w:r>
      <w:r w:rsidRPr="00A233D6">
        <w:rPr>
          <w:b/>
          <w:color w:val="000000" w:themeColor="text1"/>
          <w:sz w:val="28"/>
          <w:szCs w:val="28"/>
        </w:rPr>
        <w:t xml:space="preserve"> 8 изложить в следующей редакции:</w:t>
      </w:r>
    </w:p>
    <w:p w:rsidR="00B048B1" w:rsidRDefault="00B048B1" w:rsidP="00B048B1">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048B1" w:rsidRPr="00842F29" w:rsidRDefault="00B048B1" w:rsidP="00B048B1">
      <w:pPr>
        <w:tabs>
          <w:tab w:val="left" w:pos="1134"/>
        </w:tabs>
        <w:ind w:firstLine="709"/>
        <w:jc w:val="both"/>
        <w:rPr>
          <w:b/>
          <w:color w:val="000000" w:themeColor="text1"/>
          <w:sz w:val="28"/>
          <w:szCs w:val="28"/>
        </w:rPr>
      </w:pPr>
    </w:p>
    <w:p w:rsidR="00B048B1" w:rsidRPr="00A233D6" w:rsidRDefault="00B048B1" w:rsidP="00B048B1">
      <w:pPr>
        <w:tabs>
          <w:tab w:val="left" w:pos="1134"/>
        </w:tabs>
        <w:ind w:firstLine="709"/>
        <w:jc w:val="both"/>
        <w:rPr>
          <w:b/>
          <w:color w:val="000000" w:themeColor="text1"/>
          <w:sz w:val="28"/>
          <w:szCs w:val="28"/>
        </w:rPr>
      </w:pPr>
      <w:r w:rsidRPr="00A233D6">
        <w:rPr>
          <w:b/>
          <w:color w:val="000000" w:themeColor="text1"/>
          <w:sz w:val="28"/>
          <w:szCs w:val="28"/>
          <w:lang w:val="en-US"/>
        </w:rPr>
        <w:t>II</w:t>
      </w:r>
      <w:r w:rsidRPr="00A233D6">
        <w:rPr>
          <w:b/>
          <w:color w:val="000000" w:themeColor="text1"/>
          <w:sz w:val="28"/>
          <w:szCs w:val="28"/>
        </w:rPr>
        <w:t>. Внести в часть II следующие изменения:</w:t>
      </w:r>
    </w:p>
    <w:p w:rsidR="00B048B1" w:rsidRPr="00A233D6" w:rsidRDefault="00B048B1" w:rsidP="00B048B1">
      <w:pPr>
        <w:pStyle w:val="2"/>
        <w:numPr>
          <w:ilvl w:val="0"/>
          <w:numId w:val="2"/>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048B1" w:rsidRDefault="00B048B1" w:rsidP="00B048B1">
      <w:pPr>
        <w:tabs>
          <w:tab w:val="left" w:pos="1134"/>
        </w:tabs>
        <w:ind w:firstLine="709"/>
        <w:jc w:val="both"/>
        <w:rPr>
          <w:color w:val="000000" w:themeColor="text1"/>
          <w:sz w:val="28"/>
          <w:szCs w:val="28"/>
        </w:rPr>
      </w:pPr>
      <w:r w:rsidRPr="00181DD4">
        <w:rPr>
          <w:color w:val="000000" w:themeColor="text1"/>
          <w:sz w:val="28"/>
          <w:szCs w:val="28"/>
        </w:rPr>
        <w:t>а) наименование изложить в следующей редакции:</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w:t>
      </w:r>
      <w:r w:rsidRPr="00181DD4">
        <w:rPr>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color w:val="000000" w:themeColor="text1"/>
          <w:sz w:val="28"/>
          <w:szCs w:val="28"/>
        </w:rPr>
        <w:t>»;</w:t>
      </w:r>
    </w:p>
    <w:p w:rsidR="00B048B1" w:rsidRPr="004C3185" w:rsidRDefault="00B048B1" w:rsidP="00B048B1">
      <w:pPr>
        <w:tabs>
          <w:tab w:val="left" w:pos="1134"/>
        </w:tabs>
        <w:ind w:firstLine="709"/>
        <w:jc w:val="both"/>
        <w:rPr>
          <w:color w:val="000000" w:themeColor="text1"/>
          <w:sz w:val="28"/>
          <w:szCs w:val="28"/>
        </w:rPr>
      </w:pPr>
      <w:r>
        <w:rPr>
          <w:color w:val="000000" w:themeColor="text1"/>
          <w:sz w:val="28"/>
          <w:szCs w:val="28"/>
        </w:rPr>
        <w:t xml:space="preserve">б) </w:t>
      </w:r>
      <w:r w:rsidRPr="004C3185">
        <w:rPr>
          <w:color w:val="000000" w:themeColor="text1"/>
          <w:sz w:val="28"/>
          <w:szCs w:val="28"/>
        </w:rPr>
        <w:t>статью 6 изложить в следующей редакции:</w:t>
      </w:r>
    </w:p>
    <w:p w:rsidR="00B048B1" w:rsidRPr="004C3185" w:rsidRDefault="00B048B1" w:rsidP="00B048B1">
      <w:pPr>
        <w:pStyle w:val="a3"/>
        <w:tabs>
          <w:tab w:val="left" w:pos="1134"/>
        </w:tabs>
        <w:ind w:left="0" w:firstLine="709"/>
        <w:jc w:val="both"/>
        <w:rPr>
          <w:color w:val="000000" w:themeColor="text1"/>
          <w:sz w:val="28"/>
          <w:szCs w:val="28"/>
        </w:rPr>
      </w:pPr>
      <w:r>
        <w:rPr>
          <w:color w:val="000000" w:themeColor="text1"/>
          <w:sz w:val="28"/>
          <w:szCs w:val="28"/>
        </w:rPr>
        <w:t>«</w:t>
      </w:r>
      <w:r w:rsidRPr="00181DD4">
        <w:rPr>
          <w:color w:val="000000" w:themeColor="text1"/>
          <w:sz w:val="28"/>
          <w:szCs w:val="28"/>
        </w:rPr>
        <w:t>Статья 6. Предельные размеры земельных участков, в том числе их площадь</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4C3185">
        <w:rPr>
          <w:color w:val="000000" w:themeColor="text1"/>
          <w:sz w:val="28"/>
          <w:szCs w:val="28"/>
        </w:rPr>
        <w:t xml:space="preserve">1. </w:t>
      </w:r>
      <w:proofErr w:type="gramStart"/>
      <w:r w:rsidRPr="00511B40">
        <w:rPr>
          <w:color w:val="000000" w:themeColor="text1"/>
          <w:sz w:val="28"/>
          <w:szCs w:val="28"/>
        </w:rPr>
        <w:t xml:space="preserve">Предельные (минимальные и (или) максимальные) размеры земельных участков, в том числе их площадь, находящихся в собственности </w:t>
      </w:r>
      <w:r w:rsidRPr="00511B40">
        <w:rPr>
          <w:color w:val="000000" w:themeColor="text1"/>
          <w:sz w:val="28"/>
          <w:szCs w:val="28"/>
        </w:rPr>
        <w:lastRenderedPageBreak/>
        <w:t>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w:t>
      </w:r>
      <w:proofErr w:type="gramEnd"/>
      <w:r w:rsidRPr="00511B40">
        <w:rPr>
          <w:color w:val="000000" w:themeColor="text1"/>
          <w:sz w:val="28"/>
          <w:szCs w:val="28"/>
        </w:rPr>
        <w:t xml:space="preserve"> территории Орловской области»:</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1) для индивидуального жилищного строительства: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 xml:space="preserve">а) </w:t>
      </w:r>
      <w:proofErr w:type="gramStart"/>
      <w:r w:rsidRPr="00511B40">
        <w:rPr>
          <w:color w:val="000000" w:themeColor="text1"/>
          <w:sz w:val="28"/>
          <w:szCs w:val="28"/>
        </w:rPr>
        <w:t>максимальная</w:t>
      </w:r>
      <w:proofErr w:type="gramEnd"/>
      <w:r w:rsidRPr="00511B40">
        <w:rPr>
          <w:color w:val="000000" w:themeColor="text1"/>
          <w:sz w:val="28"/>
          <w:szCs w:val="28"/>
        </w:rPr>
        <w:t xml:space="preserve"> - 0,25 гектара;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 xml:space="preserve">б) </w:t>
      </w:r>
      <w:proofErr w:type="gramStart"/>
      <w:r w:rsidRPr="00511B40">
        <w:rPr>
          <w:color w:val="000000" w:themeColor="text1"/>
          <w:sz w:val="28"/>
          <w:szCs w:val="28"/>
        </w:rPr>
        <w:t>минимальная</w:t>
      </w:r>
      <w:proofErr w:type="gramEnd"/>
      <w:r w:rsidRPr="00511B40">
        <w:rPr>
          <w:color w:val="000000" w:themeColor="text1"/>
          <w:sz w:val="28"/>
          <w:szCs w:val="28"/>
        </w:rPr>
        <w:t xml:space="preserve"> - 0,05 гектара;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2) для ведения садоводства, огородничества, дачного хозяйства: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 xml:space="preserve">а) </w:t>
      </w:r>
      <w:proofErr w:type="gramStart"/>
      <w:r w:rsidRPr="00511B40">
        <w:rPr>
          <w:color w:val="000000" w:themeColor="text1"/>
          <w:sz w:val="28"/>
          <w:szCs w:val="28"/>
        </w:rPr>
        <w:t>максимальная</w:t>
      </w:r>
      <w:proofErr w:type="gramEnd"/>
      <w:r w:rsidRPr="00511B40">
        <w:rPr>
          <w:color w:val="000000" w:themeColor="text1"/>
          <w:sz w:val="28"/>
          <w:szCs w:val="28"/>
        </w:rPr>
        <w:t xml:space="preserve"> - 0,25 гектара;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 xml:space="preserve">б) </w:t>
      </w:r>
      <w:proofErr w:type="gramStart"/>
      <w:r w:rsidRPr="00511B40">
        <w:rPr>
          <w:color w:val="000000" w:themeColor="text1"/>
          <w:sz w:val="28"/>
          <w:szCs w:val="28"/>
        </w:rPr>
        <w:t>минимальная</w:t>
      </w:r>
      <w:proofErr w:type="gramEnd"/>
      <w:r w:rsidRPr="00511B40">
        <w:rPr>
          <w:color w:val="000000" w:themeColor="text1"/>
          <w:sz w:val="28"/>
          <w:szCs w:val="28"/>
        </w:rPr>
        <w:t xml:space="preserve"> - 0,01 гектара.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roofErr w:type="gramStart"/>
      <w:r w:rsidRPr="00511B40">
        <w:rPr>
          <w:color w:val="000000" w:themeColor="text1"/>
          <w:sz w:val="28"/>
          <w:szCs w:val="28"/>
        </w:rPr>
        <w:t>.»;</w:t>
      </w:r>
      <w:proofErr w:type="gramEnd"/>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в) </w:t>
      </w:r>
      <w:r w:rsidRPr="004C3185">
        <w:rPr>
          <w:color w:val="000000" w:themeColor="text1"/>
          <w:sz w:val="28"/>
          <w:szCs w:val="28"/>
        </w:rPr>
        <w:t xml:space="preserve">наименование статьи </w:t>
      </w:r>
      <w:r>
        <w:rPr>
          <w:color w:val="000000" w:themeColor="text1"/>
          <w:sz w:val="28"/>
          <w:szCs w:val="28"/>
        </w:rPr>
        <w:t>7</w:t>
      </w:r>
      <w:r w:rsidRPr="004C3185">
        <w:rPr>
          <w:color w:val="000000" w:themeColor="text1"/>
          <w:sz w:val="28"/>
          <w:szCs w:val="28"/>
        </w:rPr>
        <w:t xml:space="preserve"> изложить в следующей редакции:</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«Статья 7. </w:t>
      </w:r>
      <w:r w:rsidRPr="004C3185">
        <w:rPr>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themeColor="text1"/>
          <w:sz w:val="28"/>
          <w:szCs w:val="28"/>
        </w:rPr>
        <w:t>»;</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г) подпункт «а» пункта 5 статьи 7 изложить в следующей редакции:</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«а) </w:t>
      </w:r>
      <w:r w:rsidRPr="004C3185">
        <w:rPr>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color w:val="000000" w:themeColor="text1"/>
          <w:sz w:val="28"/>
          <w:szCs w:val="28"/>
        </w:rPr>
        <w:t xml:space="preserve"> 3 м</w:t>
      </w:r>
      <w:proofErr w:type="gramStart"/>
      <w:r>
        <w:rPr>
          <w:color w:val="000000" w:themeColor="text1"/>
          <w:sz w:val="28"/>
          <w:szCs w:val="28"/>
        </w:rPr>
        <w:t>;»</w:t>
      </w:r>
      <w:proofErr w:type="gramEnd"/>
      <w:r>
        <w:rPr>
          <w:color w:val="000000" w:themeColor="text1"/>
          <w:sz w:val="28"/>
          <w:szCs w:val="28"/>
        </w:rPr>
        <w:t>;</w:t>
      </w:r>
    </w:p>
    <w:p w:rsidR="00B048B1" w:rsidRDefault="00B048B1" w:rsidP="00B048B1">
      <w:pPr>
        <w:pStyle w:val="a3"/>
        <w:tabs>
          <w:tab w:val="left" w:pos="851"/>
          <w:tab w:val="left" w:pos="993"/>
        </w:tabs>
        <w:ind w:left="0" w:firstLine="709"/>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 пункты 6–9 статьи 7 изложить в следующей редакции:</w:t>
      </w:r>
    </w:p>
    <w:p w:rsidR="00B048B1" w:rsidRPr="00EE44C0"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w:t>
      </w:r>
      <w:r w:rsidRPr="00EE44C0">
        <w:rPr>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color w:val="000000" w:themeColor="text1"/>
          <w:sz w:val="28"/>
          <w:szCs w:val="28"/>
        </w:rPr>
        <w:t>ганами местного самоуправления.</w:t>
      </w:r>
    </w:p>
    <w:p w:rsidR="00B048B1" w:rsidRPr="00EE44C0"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7</w:t>
      </w:r>
      <w:r w:rsidRPr="00EE44C0">
        <w:rPr>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color w:val="000000" w:themeColor="text1"/>
          <w:sz w:val="28"/>
          <w:szCs w:val="28"/>
        </w:rPr>
        <w:t>итарных и противопожарных норм.</w:t>
      </w:r>
    </w:p>
    <w:p w:rsidR="00B048B1" w:rsidRPr="00EE44C0"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8</w:t>
      </w:r>
      <w:r w:rsidRPr="00EE44C0">
        <w:rPr>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color w:val="000000" w:themeColor="text1"/>
          <w:sz w:val="28"/>
          <w:szCs w:val="28"/>
        </w:rPr>
        <w:t xml:space="preserve"> ограждения земельных участков.</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9</w:t>
      </w:r>
      <w:r w:rsidRPr="00EE44C0">
        <w:rPr>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roofErr w:type="gramStart"/>
      <w:r w:rsidRPr="00EE44C0">
        <w:rPr>
          <w:color w:val="000000" w:themeColor="text1"/>
          <w:sz w:val="28"/>
          <w:szCs w:val="28"/>
        </w:rPr>
        <w:t>.</w:t>
      </w:r>
      <w:r>
        <w:rPr>
          <w:color w:val="000000" w:themeColor="text1"/>
          <w:sz w:val="28"/>
          <w:szCs w:val="28"/>
        </w:rPr>
        <w:t>»;</w:t>
      </w:r>
      <w:proofErr w:type="gramEnd"/>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е) </w:t>
      </w:r>
      <w:r w:rsidRPr="00511B40">
        <w:rPr>
          <w:color w:val="000000" w:themeColor="text1"/>
          <w:sz w:val="28"/>
          <w:szCs w:val="28"/>
        </w:rPr>
        <w:t xml:space="preserve">статью </w:t>
      </w:r>
      <w:r>
        <w:rPr>
          <w:color w:val="000000" w:themeColor="text1"/>
          <w:sz w:val="28"/>
          <w:szCs w:val="28"/>
        </w:rPr>
        <w:t>8</w:t>
      </w:r>
      <w:r w:rsidRPr="00511B40">
        <w:rPr>
          <w:color w:val="000000" w:themeColor="text1"/>
          <w:sz w:val="28"/>
          <w:szCs w:val="28"/>
        </w:rPr>
        <w:t xml:space="preserve"> изложить в следующей редакции:</w:t>
      </w:r>
    </w:p>
    <w:p w:rsidR="00B048B1" w:rsidRPr="00511B40"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lastRenderedPageBreak/>
        <w:t xml:space="preserve">«Статья 8. </w:t>
      </w:r>
      <w:proofErr w:type="gramStart"/>
      <w:r w:rsidRPr="00511B40">
        <w:rPr>
          <w:color w:val="000000" w:themeColor="text1"/>
          <w:sz w:val="28"/>
          <w:szCs w:val="28"/>
        </w:rPr>
        <w:t>Архитектурные решения</w:t>
      </w:r>
      <w:proofErr w:type="gramEnd"/>
      <w:r w:rsidRPr="00511B40">
        <w:rPr>
          <w:color w:val="000000" w:themeColor="text1"/>
          <w:sz w:val="28"/>
          <w:szCs w:val="28"/>
        </w:rPr>
        <w:t xml:space="preserve"> объектов капитального строительства</w:t>
      </w:r>
    </w:p>
    <w:p w:rsidR="00B048B1" w:rsidRDefault="00B048B1" w:rsidP="00B048B1">
      <w:pPr>
        <w:pStyle w:val="a3"/>
        <w:tabs>
          <w:tab w:val="left" w:pos="851"/>
          <w:tab w:val="left" w:pos="993"/>
        </w:tabs>
        <w:ind w:left="0" w:firstLine="709"/>
        <w:jc w:val="both"/>
        <w:rPr>
          <w:color w:val="000000" w:themeColor="text1"/>
          <w:sz w:val="28"/>
          <w:szCs w:val="28"/>
        </w:rPr>
      </w:pPr>
      <w:proofErr w:type="gramStart"/>
      <w:r w:rsidRPr="00511B40">
        <w:rPr>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w:t>
      </w:r>
      <w:proofErr w:type="gramEnd"/>
      <w:r w:rsidRPr="00511B40">
        <w:rPr>
          <w:color w:val="000000" w:themeColor="text1"/>
          <w:sz w:val="28"/>
          <w:szCs w:val="28"/>
        </w:rPr>
        <w:t xml:space="preserve"> органами местного самоуправления или органами исполнительной государственной власти специальной компетенции Орловской области</w:t>
      </w:r>
      <w:proofErr w:type="gramStart"/>
      <w:r w:rsidRPr="00511B40">
        <w:rPr>
          <w:color w:val="000000" w:themeColor="text1"/>
          <w:sz w:val="28"/>
          <w:szCs w:val="28"/>
        </w:rPr>
        <w:t>.</w:t>
      </w:r>
      <w:r>
        <w:rPr>
          <w:color w:val="000000" w:themeColor="text1"/>
          <w:sz w:val="28"/>
          <w:szCs w:val="28"/>
        </w:rPr>
        <w:t>»;</w:t>
      </w:r>
      <w:proofErr w:type="gramEnd"/>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ж) в наименовании статьи 9 слово «максимальное» заменить словами «Предельное (максимальное)»;</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и) пункт 2 статьи 9 изложить в следующей редакции:</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«2. </w:t>
      </w:r>
      <w:r w:rsidRPr="00EE44C0">
        <w:rPr>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color w:val="000000" w:themeColor="text1"/>
          <w:sz w:val="28"/>
          <w:szCs w:val="28"/>
        </w:rPr>
        <w:t>определяется</w:t>
      </w:r>
      <w:r w:rsidRPr="00EE44C0">
        <w:rPr>
          <w:color w:val="000000" w:themeColor="text1"/>
          <w:sz w:val="28"/>
          <w:szCs w:val="28"/>
        </w:rPr>
        <w:t xml:space="preserve"> согласно градостроительн</w:t>
      </w:r>
      <w:r>
        <w:rPr>
          <w:color w:val="000000" w:themeColor="text1"/>
          <w:sz w:val="28"/>
          <w:szCs w:val="28"/>
        </w:rPr>
        <w:t>ому</w:t>
      </w:r>
      <w:r w:rsidRPr="00EE44C0">
        <w:rPr>
          <w:color w:val="000000" w:themeColor="text1"/>
          <w:sz w:val="28"/>
          <w:szCs w:val="28"/>
        </w:rPr>
        <w:t xml:space="preserve"> регламент</w:t>
      </w:r>
      <w:r>
        <w:rPr>
          <w:color w:val="000000" w:themeColor="text1"/>
          <w:sz w:val="28"/>
          <w:szCs w:val="28"/>
        </w:rPr>
        <w:t>у</w:t>
      </w:r>
      <w:r w:rsidRPr="00EE44C0">
        <w:rPr>
          <w:color w:val="000000" w:themeColor="text1"/>
          <w:sz w:val="28"/>
          <w:szCs w:val="28"/>
        </w:rPr>
        <w:t xml:space="preserve"> соответствующей территориальной зоны.</w:t>
      </w:r>
      <w:r>
        <w:rPr>
          <w:color w:val="000000" w:themeColor="text1"/>
          <w:sz w:val="28"/>
          <w:szCs w:val="28"/>
        </w:rPr>
        <w:t>»;</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к) в наименовании статьи 10 слово «максимальная» заменить словами «Предельна</w:t>
      </w:r>
      <w:proofErr w:type="gramStart"/>
      <w:r>
        <w:rPr>
          <w:color w:val="000000" w:themeColor="text1"/>
          <w:sz w:val="28"/>
          <w:szCs w:val="28"/>
        </w:rPr>
        <w:t>я(</w:t>
      </w:r>
      <w:proofErr w:type="gramEnd"/>
      <w:r>
        <w:rPr>
          <w:color w:val="000000" w:themeColor="text1"/>
          <w:sz w:val="28"/>
          <w:szCs w:val="28"/>
        </w:rPr>
        <w:t>максимальная)»;</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л) пункт 2 статьи 10 изложить в следующей редакции:</w:t>
      </w:r>
    </w:p>
    <w:p w:rsidR="00B048B1" w:rsidRPr="00181DD4"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w:t>
      </w:r>
      <w:r w:rsidRPr="00363170">
        <w:rPr>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roofErr w:type="gramStart"/>
      <w:r w:rsidRPr="00363170">
        <w:rPr>
          <w:color w:val="000000" w:themeColor="text1"/>
          <w:sz w:val="28"/>
          <w:szCs w:val="28"/>
        </w:rPr>
        <w:t>.</w:t>
      </w:r>
      <w:r>
        <w:rPr>
          <w:color w:val="000000" w:themeColor="text1"/>
          <w:sz w:val="28"/>
          <w:szCs w:val="28"/>
        </w:rPr>
        <w:t>»;</w:t>
      </w:r>
      <w:proofErr w:type="gramEnd"/>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н</w:t>
      </w:r>
      <w:proofErr w:type="spellEnd"/>
      <w:r>
        <w:rPr>
          <w:rFonts w:ascii="Times New Roman" w:hAnsi="Times New Roman"/>
          <w:color w:val="000000" w:themeColor="text1"/>
          <w:sz w:val="28"/>
          <w:szCs w:val="28"/>
        </w:rPr>
        <w:t>) наименование статьи 11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п</w:t>
      </w:r>
      <w:proofErr w:type="spellEnd"/>
      <w:r>
        <w:rPr>
          <w:rFonts w:ascii="Times New Roman" w:hAnsi="Times New Roman"/>
          <w:color w:val="000000" w:themeColor="text1"/>
          <w:sz w:val="28"/>
          <w:szCs w:val="28"/>
        </w:rPr>
        <w:t>) пункт 3 статьи 11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roofErr w:type="gramStart"/>
      <w:r w:rsidRPr="008C2758">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B048B1" w:rsidRPr="00A233D6"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048B1" w:rsidRPr="00A233D6"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048B1"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2D6963">
        <w:rPr>
          <w:rFonts w:ascii="Times New Roman" w:hAnsi="Times New Roman"/>
          <w:b/>
          <w:color w:val="000000" w:themeColor="text1"/>
          <w:sz w:val="28"/>
          <w:szCs w:val="28"/>
        </w:rPr>
        <w:t>главы 3:</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roofErr w:type="gramStart"/>
      <w:r w:rsidRPr="00423633">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roofErr w:type="gramStart"/>
      <w:r w:rsidRPr="00405EA7">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roofErr w:type="gramStart"/>
      <w:r w:rsidRPr="00E20FF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proofErr w:type="gramStart"/>
      <w:r w:rsidRPr="003D2C2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д</w:t>
      </w:r>
      <w:proofErr w:type="spellEnd"/>
      <w:r>
        <w:rPr>
          <w:rFonts w:ascii="Times New Roman" w:hAnsi="Times New Roman"/>
          <w:color w:val="000000" w:themeColor="text1"/>
          <w:sz w:val="28"/>
          <w:szCs w:val="28"/>
        </w:rPr>
        <w:t>) подпункт 6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roofErr w:type="gramStart"/>
      <w:r w:rsidRPr="00E20FF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9E29B0"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048B1" w:rsidRPr="009E29B0"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048B1" w:rsidRPr="009E29B0" w:rsidRDefault="00B048B1" w:rsidP="00B048B1">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9E29B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D1786C"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D1786C"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 xml:space="preserve">ей20 и 44 главы 3 </w:t>
      </w:r>
      <w:r>
        <w:rPr>
          <w:rFonts w:ascii="Times New Roman" w:hAnsi="Times New Roman"/>
          <w:color w:val="000000" w:themeColor="text1"/>
          <w:sz w:val="28"/>
          <w:szCs w:val="28"/>
        </w:rPr>
        <w:t>изложить в следующей редакции:</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3A3C9F"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BC38BE" w:rsidRDefault="00B048B1" w:rsidP="00B048B1">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391C23"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643832" w:rsidRDefault="00B048B1" w:rsidP="00B048B1">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w:t>
      </w:r>
      <w:r w:rsidRPr="00EC3D1B">
        <w:rPr>
          <w:rFonts w:ascii="Times New Roman" w:hAnsi="Times New Roman"/>
          <w:color w:val="000000" w:themeColor="text1"/>
          <w:sz w:val="28"/>
          <w:szCs w:val="28"/>
        </w:rPr>
        <w:lastRenderedPageBreak/>
        <w:t>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7348CD"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color w:val="000000" w:themeColor="text1"/>
          <w:sz w:val="28"/>
          <w:szCs w:val="28"/>
        </w:rPr>
        <w:t>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341449"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roofErr w:type="gramEnd"/>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proofErr w:type="gramStart"/>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341449"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proofErr w:type="gramStart"/>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048B1" w:rsidRPr="004A5990"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roofErr w:type="gramStart"/>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roofErr w:type="gramEnd"/>
      <w:r w:rsidRPr="004A5990">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 xml:space="preserve">ов 3 статей17,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ind w:firstLine="709"/>
        <w:jc w:val="both"/>
        <w:rPr>
          <w:bCs/>
          <w:sz w:val="28"/>
          <w:szCs w:val="28"/>
        </w:rPr>
      </w:pPr>
    </w:p>
    <w:p w:rsidR="00382DD5" w:rsidRDefault="00382DD5" w:rsidP="00382DD5">
      <w:pPr>
        <w:widowControl w:val="0"/>
        <w:autoSpaceDE w:val="0"/>
        <w:autoSpaceDN w:val="0"/>
        <w:adjustRightInd w:val="0"/>
        <w:spacing w:line="1" w:lineRule="exact"/>
        <w:rPr>
          <w:sz w:val="2"/>
          <w:szCs w:val="2"/>
        </w:rPr>
      </w:pPr>
    </w:p>
    <w:p w:rsidR="00382DD5" w:rsidRDefault="00382DD5" w:rsidP="00382DD5">
      <w:pPr>
        <w:rPr>
          <w:bCs/>
          <w:sz w:val="26"/>
          <w:szCs w:val="26"/>
        </w:rPr>
      </w:pPr>
    </w:p>
    <w:sectPr w:rsidR="00382DD5" w:rsidSect="00781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DD5"/>
    <w:rsid w:val="000E41B8"/>
    <w:rsid w:val="002E44BD"/>
    <w:rsid w:val="00382DD5"/>
    <w:rsid w:val="003D72F7"/>
    <w:rsid w:val="006547F4"/>
    <w:rsid w:val="007568AC"/>
    <w:rsid w:val="007733E4"/>
    <w:rsid w:val="00781432"/>
    <w:rsid w:val="00783988"/>
    <w:rsid w:val="00A06FE3"/>
    <w:rsid w:val="00B048B1"/>
    <w:rsid w:val="00BE6D1A"/>
    <w:rsid w:val="00C14C49"/>
    <w:rsid w:val="00D33737"/>
    <w:rsid w:val="00DB4451"/>
    <w:rsid w:val="00E21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D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048B1"/>
    <w:pPr>
      <w:ind w:left="720"/>
      <w:contextualSpacing/>
    </w:pPr>
  </w:style>
  <w:style w:type="paragraph" w:customStyle="1" w:styleId="2">
    <w:name w:val="Абзац списка2"/>
    <w:basedOn w:val="a"/>
    <w:rsid w:val="00B048B1"/>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Dbrnjhb</dc:creator>
  <cp:keywords/>
  <dc:description/>
  <cp:lastModifiedBy>Dbrnjhb</cp:lastModifiedBy>
  <cp:revision>6</cp:revision>
  <cp:lastPrinted>2017-08-17T08:39:00Z</cp:lastPrinted>
  <dcterms:created xsi:type="dcterms:W3CDTF">2017-08-16T09:00:00Z</dcterms:created>
  <dcterms:modified xsi:type="dcterms:W3CDTF">2017-08-17T08:44:00Z</dcterms:modified>
</cp:coreProperties>
</file>